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  <w:bookmarkStart w:id="0" w:name="_GoBack"/>
      <w:bookmarkEnd w:id="0"/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FB71D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 w:rsidRPr="00A16672">
        <w:rPr>
          <w:b/>
          <w:noProof/>
          <w:color w:val="000000" w:themeColor="text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A6420" wp14:editId="256FDD4B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A6420" id="Rechteck 3" o:spid="_x0000_s1026" style="position:absolute;margin-left:157.15pt;margin-top:1.75pt;width:156.6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" filled="f" strokecolor="black [3213]" strokeweight=".5pt"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EA378C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A274BD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A274BD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Hyperlink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Hyperlink"/>
              </w:rPr>
              <w:t>Project Outline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Hyperlink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Hyperlink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Hyperlink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Hyperlink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Hyperlink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Hyperlink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Hyperlink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Hyperlink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Hyperlink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Hyperlink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Hyperlink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</w:rPr>
              <w:t>Budget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Hyperlink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Hyperlink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Hyperlink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Hyperlink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Hyperlink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Hyperlink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Hyperlink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Hyperlink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Hyperlink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Hyperlink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Hyperlink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Hyperlink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Hyperlink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Hyperlink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Hyperlink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Hyperlink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Hyperlink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Hyperlink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Hyperlink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Hyperlink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Hyperlink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Hyperlink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Hyperlink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Hyperlink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Hyperlink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Hyperlink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Hyperlink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Hyperlink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Hyperlink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Hyperlink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Hyperlink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Hyperlink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Hyperlink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9E7B3C">
          <w:pPr>
            <w:pStyle w:val="Inhopg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Hyperlink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504B99">
              <w:rPr>
                <w:webHidden/>
              </w:rPr>
              <w:fldChar w:fldCharType="end"/>
            </w:r>
          </w:hyperlink>
        </w:p>
        <w:p w:rsidR="00A274BD" w:rsidRPr="00A16672" w:rsidRDefault="00A274BD" w:rsidP="00EA378C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  <w:r w:rsidRPr="00504B99">
        <w:rPr>
          <w:lang w:val="en-US"/>
        </w:rPr>
        <w:t xml:space="preserve"> </w:t>
      </w:r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  <w:r w:rsidRPr="00A16672">
        <w:rPr>
          <w:i/>
          <w:lang w:val="en-GB"/>
        </w:rPr>
        <w:t xml:space="preserve">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Bijschrift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8A6C7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8A6C7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8A6C7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t>Investment</w:t>
      </w:r>
      <w:bookmarkEnd w:id="10"/>
      <w:r w:rsidR="00FF51C7" w:rsidRPr="00504B99">
        <w:rPr>
          <w:lang w:val="en-GB"/>
        </w:rPr>
        <w:t xml:space="preserve"> 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classification,</w:t>
      </w:r>
      <w:r w:rsidR="004766EF" w:rsidRPr="00504B99">
        <w:rPr>
          <w:i/>
          <w:lang w:val="en-GB"/>
        </w:rPr>
        <w:t xml:space="preserve">.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Bijschrift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Bijschrift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Pr="00504B99">
        <w:fldChar w:fldCharType="separate"/>
      </w:r>
      <w:r w:rsidR="00D769DE" w:rsidRPr="00504B99">
        <w:rPr>
          <w:noProof/>
          <w:lang w:val="en-GB"/>
        </w:rPr>
        <w:t>2</w:t>
      </w:r>
      <w:r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Tabelraster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Bijschrift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Bijschrift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  <w:r w:rsidRPr="00504B99">
        <w:rPr>
          <w:lang w:val="en-GB"/>
        </w:rPr>
        <w:t xml:space="preserve"> 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>, within the FID costs, the costs of R&amp;D carried out in the FID phase should be</w:t>
      </w:r>
      <w:r>
        <w:rPr>
          <w:lang w:val="en-GB"/>
        </w:rPr>
        <w:t xml:space="preserve"> </w:t>
      </w:r>
      <w:r w:rsidRPr="007B000A">
        <w:rPr>
          <w:lang w:val="en-GB"/>
        </w:rPr>
        <w:t>mentioned;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cut-off date of the R&amp;D and FID phases should be provided explicitly by each company</w:t>
      </w:r>
      <w:r>
        <w:rPr>
          <w:lang w:val="en-GB"/>
        </w:rPr>
        <w:t xml:space="preserve"> </w:t>
      </w:r>
      <w:r w:rsidRPr="007B000A">
        <w:rPr>
          <w:lang w:val="en-GB"/>
        </w:rPr>
        <w:t>(The template Excel contains vertical lines, showing these cut-offs, these should be adapted</w:t>
      </w:r>
      <w:r>
        <w:rPr>
          <w:lang w:val="en-GB"/>
        </w:rPr>
        <w:t xml:space="preserve"> </w:t>
      </w:r>
      <w:r w:rsidRPr="007B000A">
        <w:rPr>
          <w:lang w:val="en-GB"/>
        </w:rPr>
        <w:t>per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Eligible costs cover costs up to the end of the FID phase (even if the FID phase goes beyond</w:t>
      </w:r>
      <w:r>
        <w:rPr>
          <w:lang w:val="en-GB"/>
        </w:rPr>
        <w:t xml:space="preserve"> </w:t>
      </w:r>
      <w:r w:rsidRPr="007B000A">
        <w:rPr>
          <w:lang w:val="en-GB"/>
        </w:rPr>
        <w:t>the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end result of this step should be one figure: the total amount of eligible costs at the end</w:t>
      </w:r>
      <w:r>
        <w:rPr>
          <w:lang w:val="en-GB"/>
        </w:rPr>
        <w:t xml:space="preserve"> </w:t>
      </w:r>
      <w:r w:rsidRPr="007B000A">
        <w:rPr>
          <w:lang w:val="en-GB"/>
        </w:rPr>
        <w:t>of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Note: all costs mentioned in the Excel sheet are considered by the Member States as eligible costs</w:t>
      </w:r>
      <w:r>
        <w:rPr>
          <w:lang w:val="en-GB"/>
        </w:rPr>
        <w:t xml:space="preserve"> </w:t>
      </w:r>
      <w:r w:rsidRPr="007B000A">
        <w:rPr>
          <w:lang w:val="en-GB"/>
        </w:rPr>
        <w:t>under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Tabelraster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Bijschrift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Voetnootmarkering"/>
          <w:lang w:val="en-US"/>
        </w:rPr>
        <w:t xml:space="preserve"> </w:t>
      </w:r>
      <w:r w:rsidR="00FF51C7" w:rsidRPr="00504B99">
        <w:rPr>
          <w:rStyle w:val="Voetnootmarkering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  <w:r w:rsidRPr="000956E9">
        <w:rPr>
          <w:sz w:val="22"/>
          <w:szCs w:val="22"/>
          <w:lang w:val="en-GB"/>
        </w:rPr>
        <w:t xml:space="preserve"> 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Tabelraster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Bijschrift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Voetnootmarkering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t>Other positive effect on the market</w:t>
      </w:r>
      <w:bookmarkEnd w:id="24"/>
      <w:r w:rsidRPr="000956E9">
        <w:rPr>
          <w:lang w:val="en-GB"/>
        </w:rPr>
        <w:t xml:space="preserve"> </w:t>
      </w:r>
    </w:p>
    <w:p w:rsidR="00183AE8" w:rsidRPr="00504B99" w:rsidRDefault="00C454AC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 </w:t>
      </w:r>
      <w:r w:rsidR="00183AE8"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="00183AE8"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="00183AE8"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="00183AE8" w:rsidRPr="00504B99">
        <w:rPr>
          <w:i/>
          <w:lang w:val="en-GB"/>
        </w:rPr>
        <w:t xml:space="preserve"> the level of innovation and R&amp;D in the sector and</w:t>
      </w:r>
      <w:r w:rsidR="00C7449B">
        <w:rPr>
          <w:i/>
          <w:lang w:val="en-GB"/>
        </w:rPr>
        <w:t xml:space="preserve"> </w:t>
      </w:r>
      <w:r w:rsidR="00183AE8" w:rsidRPr="00504B99">
        <w:rPr>
          <w:i/>
          <w:lang w:val="en-GB"/>
        </w:rPr>
        <w:t>the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C7449B">
        <w:rPr>
          <w:i/>
          <w:lang w:val="en-GB"/>
        </w:rPr>
        <w:t>of</w:t>
      </w:r>
      <w:r w:rsidR="00C7449B" w:rsidRPr="00A16672">
        <w:rPr>
          <w:i/>
          <w:lang w:val="en-GB"/>
        </w:rPr>
        <w:t xml:space="preserve"> </w:t>
      </w:r>
      <w:r w:rsidRPr="00A16672">
        <w:rPr>
          <w:i/>
          <w:lang w:val="en-GB"/>
        </w:rPr>
        <w:t xml:space="preserve">the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and</w:t>
      </w:r>
      <w:r w:rsidR="00A50B11" w:rsidRPr="000956E9">
        <w:rPr>
          <w:i/>
          <w:lang w:val="en-GB"/>
        </w:rPr>
        <w:t xml:space="preserve"> </w:t>
      </w:r>
      <w:r w:rsidR="00C7449B">
        <w:rPr>
          <w:i/>
          <w:lang w:val="en-GB"/>
        </w:rPr>
        <w:t>on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r w:rsidRPr="00504B99">
        <w:rPr>
          <w:lang w:val="en-GB"/>
        </w:rPr>
        <w:t xml:space="preserve"> </w:t>
      </w: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>Due to scale and complexity of the IPCEI explain the difficulty to work together particulary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C7449B">
        <w:rPr>
          <w:i/>
          <w:sz w:val="22"/>
          <w:lang w:val="en-US"/>
        </w:rPr>
        <w:t>suppliers</w:t>
      </w:r>
      <w:r w:rsidR="00C7449B" w:rsidRPr="00504B99">
        <w:rPr>
          <w:i/>
          <w:sz w:val="22"/>
          <w:lang w:val="en-US"/>
        </w:rPr>
        <w:t xml:space="preserve"> </w:t>
      </w:r>
      <w:r w:rsidRPr="00504B99">
        <w:rPr>
          <w:i/>
          <w:sz w:val="22"/>
          <w:lang w:val="en-US"/>
        </w:rPr>
        <w:t xml:space="preserve">and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C7449B" w:rsidRPr="00504B99">
        <w:rPr>
          <w:lang w:val="en-US"/>
        </w:rPr>
        <w:t>ad</w:t>
      </w:r>
      <w:r w:rsidR="00C7449B">
        <w:rPr>
          <w:lang w:val="en-US"/>
        </w:rPr>
        <w:t>e</w:t>
      </w:r>
      <w:r w:rsidR="00C7449B" w:rsidRPr="00504B99">
        <w:rPr>
          <w:lang w:val="en-US"/>
        </w:rPr>
        <w:t>qua</w:t>
      </w:r>
      <w:r w:rsidR="00C7449B">
        <w:rPr>
          <w:lang w:val="en-US"/>
        </w:rPr>
        <w:t>cy</w:t>
      </w:r>
      <w:r w:rsidR="00C7449B" w:rsidRPr="00504B99">
        <w:rPr>
          <w:lang w:val="en-US"/>
        </w:rPr>
        <w:t xml:space="preserve"> </w:t>
      </w:r>
      <w:r w:rsidRPr="00504B99">
        <w:rPr>
          <w:lang w:val="en-US"/>
        </w:rPr>
        <w:t xml:space="preserve">to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  <w:r w:rsidR="00E27562" w:rsidRPr="00504B99">
        <w:rPr>
          <w:lang w:val="en-GB"/>
        </w:rPr>
        <w:t xml:space="preserve"> </w:t>
      </w:r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>here should also be a counterfactual scenario at the overall IPCEI level,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order to understand what happens if the IPCEI would not take place. A counterfactual at IPCEI level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could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counterfactual scenario should be described in sufficient detail. E.g. a mere statement that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"the company would not undertake the project as planned in its Member State without the aid"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is not sufficient. It should be described in detail if it will not undertake the project at all, or will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undertake it but in a different manner/extent, or will possibly undertake it somewhere else.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IPCEI Communication requires, the intended change must be specified (the change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behaviour which is expected to result from the State aid, that is to say whether a new project is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triggered, or the size, scope or speed of a project is enhanced; The change of behaviour has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identified by comparing what would be the expected outcome and level of intended activity with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This description can be in the technological field documents, or, if confidential in nature, in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accompanying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FE1B3C">
        <w:rPr>
          <w:i/>
          <w:lang w:val="en-GB"/>
        </w:rPr>
        <w:t xml:space="preserve"> 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internal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documents, showing that the company faces a clear choice and how the decision on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whether to carry out the project is taken. This requirement is in line with the documentary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evidence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If the counterfactual scenario is that there is no alternative project, there is no need for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 tab with calculations in the Excel sheet. The Commission will only assess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company: two step check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1) Identify the eligible costs: The possible eligible costs are listed in the Annex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Communication. The aid amount for any beneficiary can in no case exceed 100%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eligible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the funding gap. The aid amount can in no case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exceed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Where there is a counterfactual alternative project, there is a counterfactual tab in the Excel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sheet with full calculation of the net present value of the positive and negative cash flows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 in the IPCEI Communication in case there</w:t>
      </w:r>
      <w:r w:rsidR="00C7449B">
        <w:rPr>
          <w:i/>
          <w:lang w:val="en-GB"/>
        </w:rPr>
        <w:t xml:space="preserve"> </w:t>
      </w:r>
      <w:r w:rsidRPr="00FE1B3C">
        <w:rPr>
          <w:i/>
          <w:lang w:val="en-GB"/>
        </w:rPr>
        <w:t>is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1) Identify the eligible costs in the basic scenario: The possible eligible costs are listed in the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Annex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2) Identify the difference between the NPV of the alternative project and the NPV of the aided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project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convenient</w:t>
      </w:r>
      <w:r w:rsidR="00C7449B" w:rsidRPr="00FE1B3C">
        <w:rPr>
          <w:i/>
          <w:lang w:val="en-GB"/>
        </w:rPr>
        <w:t xml:space="preserve"> </w:t>
      </w:r>
      <w:r w:rsidRPr="00FE1B3C">
        <w:rPr>
          <w:i/>
          <w:lang w:val="en-GB"/>
        </w:rPr>
        <w:t>to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Each company should provide all costs and revenues associated with the investment as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whole and the boundaries of investment should be defined from the perspective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investor: the calculation should include all (positive and negative) cash-flows for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what the investor regards as the investment project, at the time these cash-flows are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incurred. It is not enough to only submit the eligible costs. For the purpose of calculating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funding gap, what matters are all the costs (eligible or not) associated with the investment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project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For the purposes of this IPCEI, it is sufficient to provide the Excel sheet calculations for one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scenario, the basic scenario (no optimistic and pessimistic scenarios and respective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probabilities needed), provided the company is able to justify in the accompanying text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document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that must be calculated is the funding gap of the investment project (i.e. all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investment costs and operating costs) to be made by the company for the purpose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is the difference between discounted positive and negative cash flows over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entire economic lifetime of the investment project, i.e. covering the entire period during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which the investments made generate revenues / the products that are produced thanks to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programme.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>he investments are sold on the market. Hence, the funding gap must not be calculated only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the duration of the IPCEI project, which is up to the end of the FID phase, but must also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cover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One option is to include in the excel sheet the best estimate projections that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has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Alternatively, companies could provide data for the explicit forecast horizon of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give a residual/terminal value (i.e. net present value of expected cash flow beyond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explicit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>), discounted to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current value. In that case, the number of years of mass production for which data are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inserted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Practically, in the Excel sheet, after the data for the FID phase and after the data for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reasonable number of years of mass production, a column should be inserted and contain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Sales/revenues (positive cash flows): projected sales figures should be used by each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rather than a formula. These should be the figures actually used by the company in its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plan and decision making process. This can be best estimate figures. This data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should overwrite the formula embedded in the Excel sheet which calculates sales/revenues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as a function of costs, an assumption of idle share and an assumption of gross margin. Only if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 company has no sales projections or any best estimate data, and only if it actually uses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formula embedded in the sheet (function of costs, idle share and gross margin) in its business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plan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(WACC)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of the company. The firm should provide evidence that the discount factor applied is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actual WACC used by the company (e.g. by internal documents showing the applied WACC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investment analysis). The reason to deviate from the WACC usually applied by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end result of this step should be one figure: the amount of the funding gap, labelled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such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  <w:r w:rsidRPr="00504B99">
        <w:rPr>
          <w:i/>
          <w:lang w:val="en-GB"/>
        </w:rPr>
        <w:t xml:space="preserve"> 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successfully..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  <w:r w:rsidR="003F14DF" w:rsidRPr="00504B99">
        <w:rPr>
          <w:lang w:val="en-GB"/>
        </w:rPr>
        <w:t xml:space="preserve"> </w:t>
      </w:r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E8" w:rsidRDefault="002143E8" w:rsidP="00D50C60">
      <w:r>
        <w:separator/>
      </w:r>
    </w:p>
  </w:endnote>
  <w:endnote w:type="continuationSeparator" w:id="0">
    <w:p w:rsidR="002143E8" w:rsidRDefault="002143E8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BD136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29">
          <w:rPr>
            <w:noProof/>
          </w:rPr>
          <w:t>1</w:t>
        </w:r>
        <w:r>
          <w:fldChar w:fldCharType="end"/>
        </w:r>
      </w:p>
    </w:sdtContent>
  </w:sdt>
  <w:p w:rsidR="00BD1368" w:rsidRDefault="00BD13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E8" w:rsidRDefault="002143E8" w:rsidP="00D50C60">
      <w:r>
        <w:separator/>
      </w:r>
    </w:p>
  </w:footnote>
  <w:footnote w:type="continuationSeparator" w:id="0">
    <w:p w:rsidR="002143E8" w:rsidRDefault="002143E8" w:rsidP="00D50C60">
      <w:r>
        <w:continuationSeparator/>
      </w:r>
    </w:p>
  </w:footnote>
  <w:footnote w:id="1">
    <w:p w:rsidR="00FF51C7" w:rsidRPr="00FF51C7" w:rsidRDefault="00FF51C7" w:rsidP="00FF51C7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FF51C7">
        <w:rPr>
          <w:lang w:val="en-US"/>
        </w:rPr>
        <w:t xml:space="preserve"> </w:t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A16672">
      <w:rPr>
        <w:lang w:val="en-US"/>
      </w:rPr>
      <w:t>Batteries</w:t>
    </w:r>
    <w:r w:rsidR="00A16672">
      <w:ptab w:relativeTo="margin" w:alignment="center" w:leader="none"/>
    </w:r>
    <w:r>
      <w:tab/>
    </w:r>
    <w:r>
      <w:tab/>
    </w:r>
    <w:r>
      <w:tab/>
    </w:r>
    <w:r>
      <w:tab/>
      <w:t xml:space="preserve">           </w:t>
    </w:r>
    <w:r w:rsidR="00FF51C7">
      <w:t xml:space="preserve">    </w:t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BD"/>
    <w:rsid w:val="00012260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F3783"/>
    <w:rsid w:val="00201DB0"/>
    <w:rsid w:val="0021183C"/>
    <w:rsid w:val="0021231E"/>
    <w:rsid w:val="002143E8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609D1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9E7B3C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70629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6354F2-702C-4350-8AAF-515BC79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Kop1">
    <w:name w:val="heading 1"/>
    <w:basedOn w:val="Standaard"/>
    <w:next w:val="Standaard"/>
    <w:link w:val="Kop1Ch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aliases w:val="IT Abbildungsverzeichnis"/>
    <w:basedOn w:val="Standaard"/>
    <w:next w:val="Standaard"/>
    <w:link w:val="LijstmetafbeeldingenCh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Kop1Char">
    <w:name w:val="Kop 1 Char"/>
    <w:basedOn w:val="Standaardalinea-lettertype"/>
    <w:link w:val="Kop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LijstmetafbeeldingenChar">
    <w:name w:val="Lijst met afbeeldingen Char"/>
    <w:aliases w:val="IT Abbildungsverzeichnis Char"/>
    <w:basedOn w:val="Standaardalinea-lettertype"/>
    <w:link w:val="Lijstmetafbeeldingen"/>
    <w:rsid w:val="001623F4"/>
    <w:rPr>
      <w:rFonts w:ascii="Arial" w:hAnsi="Arial" w:cs="Times New Roman"/>
      <w:sz w:val="20"/>
      <w:szCs w:val="20"/>
      <w:lang w:eastAsia="de-DE"/>
    </w:rPr>
  </w:style>
  <w:style w:type="paragraph" w:styleId="Lijstopsomteken2">
    <w:name w:val="List Bullet 2"/>
    <w:aliases w:val="IT Minus Ebene 2"/>
    <w:basedOn w:val="Standaard"/>
    <w:rsid w:val="00A00995"/>
    <w:pPr>
      <w:tabs>
        <w:tab w:val="num" w:pos="964"/>
      </w:tabs>
      <w:ind w:left="964" w:hanging="284"/>
    </w:pPr>
  </w:style>
  <w:style w:type="paragraph" w:styleId="Lijstopsomteken3">
    <w:name w:val="List Bullet 3"/>
    <w:aliases w:val="IT Plus Ebene 2"/>
    <w:basedOn w:val="Standaard"/>
    <w:next w:val="Lijstopsomteken2"/>
    <w:rsid w:val="00A00995"/>
    <w:pPr>
      <w:tabs>
        <w:tab w:val="num" w:pos="964"/>
      </w:tabs>
      <w:ind w:left="964" w:hanging="284"/>
    </w:pPr>
  </w:style>
  <w:style w:type="paragraph" w:styleId="Lijstopsomteken4">
    <w:name w:val="List Bullet 4"/>
    <w:aliases w:val="IT Doppelpfeil Ebene 3"/>
    <w:basedOn w:val="Standaard"/>
    <w:rsid w:val="00A00995"/>
    <w:pPr>
      <w:tabs>
        <w:tab w:val="num" w:pos="1247"/>
      </w:tabs>
      <w:ind w:left="1247" w:hanging="283"/>
    </w:pPr>
  </w:style>
  <w:style w:type="paragraph" w:styleId="Lijstopsomteken5">
    <w:name w:val="List Bullet 5"/>
    <w:aliases w:val="IT Pfeil Ebene 3"/>
    <w:basedOn w:val="Standaard"/>
    <w:rsid w:val="00A00995"/>
    <w:pPr>
      <w:tabs>
        <w:tab w:val="num" w:pos="1247"/>
      </w:tabs>
      <w:ind w:left="1247" w:hanging="283"/>
    </w:pPr>
  </w:style>
  <w:style w:type="paragraph" w:styleId="Bijschrift">
    <w:name w:val="caption"/>
    <w:aliases w:val="IT Beschriftung"/>
    <w:basedOn w:val="Standaard"/>
    <w:next w:val="Standaard"/>
    <w:link w:val="BijschriftChar"/>
    <w:rsid w:val="00AD6721"/>
    <w:pPr>
      <w:spacing w:before="160" w:after="240"/>
    </w:pPr>
    <w:rPr>
      <w:bCs/>
      <w:i/>
    </w:rPr>
  </w:style>
  <w:style w:type="character" w:customStyle="1" w:styleId="BijschriftChar">
    <w:name w:val="Bijschrift Char"/>
    <w:aliases w:val="IT Beschriftung Char"/>
    <w:basedOn w:val="Standaardalinea-lettertype"/>
    <w:link w:val="Bijschrift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ijschrift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ijschriftCh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Standa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Inhopg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Inhopg1"/>
    <w:rsid w:val="00A00995"/>
    <w:rPr>
      <w:rFonts w:cs="Arial"/>
    </w:rPr>
  </w:style>
  <w:style w:type="paragraph" w:styleId="Inhopg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Inhopg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Inhopg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Inhopg3"/>
    <w:rsid w:val="00A00995"/>
    <w:pPr>
      <w:tabs>
        <w:tab w:val="clear" w:pos="1701"/>
      </w:tabs>
      <w:ind w:left="1588" w:hanging="1021"/>
    </w:pPr>
  </w:style>
  <w:style w:type="paragraph" w:styleId="Voetnoottekst">
    <w:name w:val="footnote text"/>
    <w:aliases w:val="IT Fußnotentext"/>
    <w:basedOn w:val="Standaard"/>
    <w:link w:val="VoetnoottekstCh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VoetnoottekstChar">
    <w:name w:val="Voetnoottekst Char"/>
    <w:aliases w:val="IT Fußnotentext Char"/>
    <w:basedOn w:val="Standaardalinea-lettertype"/>
    <w:link w:val="Voetnoottekst"/>
    <w:rsid w:val="00A00995"/>
    <w:rPr>
      <w:rFonts w:ascii="Arial" w:hAnsi="Arial" w:cs="Times New Roman"/>
      <w:sz w:val="16"/>
      <w:szCs w:val="20"/>
      <w:lang w:eastAsia="de-DE"/>
    </w:rPr>
  </w:style>
  <w:style w:type="character" w:styleId="Voetnootmarkering">
    <w:name w:val="footnote reference"/>
    <w:aliases w:val="IT Fußnotenzeichen"/>
    <w:basedOn w:val="Standaardalinea-lettertype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Standaardalinea-lettertype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Standaardalinea-lettertype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Standaardalinea-lettertype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Standaardalinea-lettertype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Standaardalinea-lettertype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Standaardalinea-lettertype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Standaardalinea-lettertype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Standaardalinea-lettertype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Standaardalinea-lettertype"/>
    <w:rsid w:val="00A00995"/>
    <w:rPr>
      <w:shd w:val="clear" w:color="auto" w:fill="auto"/>
    </w:rPr>
  </w:style>
  <w:style w:type="paragraph" w:customStyle="1" w:styleId="ITNummerierung">
    <w:name w:val="IT Nummerierung"/>
    <w:basedOn w:val="Standa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Standaardalinea-lettertype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Standaardalinea-lettertype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ard"/>
    <w:rsid w:val="00A00995"/>
    <w:rPr>
      <w:sz w:val="12"/>
    </w:rPr>
  </w:style>
  <w:style w:type="character" w:customStyle="1" w:styleId="ITZitat">
    <w:name w:val="IT Zitat"/>
    <w:basedOn w:val="Standaardalinea-lettertype"/>
    <w:rsid w:val="00A00995"/>
    <w:rPr>
      <w:rFonts w:ascii="Arial" w:hAnsi="Arial"/>
      <w:i/>
      <w:spacing w:val="0"/>
    </w:rPr>
  </w:style>
  <w:style w:type="paragraph" w:styleId="Tekstopmerking">
    <w:name w:val="annotation text"/>
    <w:aliases w:val="IT Kommentartext"/>
    <w:basedOn w:val="Standaard"/>
    <w:link w:val="TekstopmerkingChar"/>
    <w:semiHidden/>
    <w:rsid w:val="00A00995"/>
  </w:style>
  <w:style w:type="character" w:customStyle="1" w:styleId="TekstopmerkingChar">
    <w:name w:val="Tekst opmerking Char"/>
    <w:aliases w:val="IT Kommentartext Char"/>
    <w:basedOn w:val="Standaardalinea-lettertype"/>
    <w:link w:val="Tekstopmerking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nderwerpvanopmerking">
    <w:name w:val="annotation subject"/>
    <w:aliases w:val="IT Kommentarthema"/>
    <w:basedOn w:val="Tekstopmerking"/>
    <w:next w:val="Tekstopmerking"/>
    <w:link w:val="OnderwerpvanopmerkingChar"/>
    <w:semiHidden/>
    <w:rsid w:val="00A00995"/>
    <w:rPr>
      <w:b/>
      <w:bCs/>
    </w:rPr>
  </w:style>
  <w:style w:type="character" w:customStyle="1" w:styleId="OnderwerpvanopmerkingChar">
    <w:name w:val="Onderwerp van opmerking Char"/>
    <w:aliases w:val="IT Kommentarthema Char"/>
    <w:basedOn w:val="TekstopmerkingChar"/>
    <w:link w:val="Onderwerpvanopmerking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Verwijzingopmerking">
    <w:name w:val="annotation reference"/>
    <w:aliases w:val="IT Kommentarzeichen"/>
    <w:basedOn w:val="Standaardalinea-lettertype"/>
    <w:semiHidden/>
    <w:rsid w:val="00A00995"/>
    <w:rPr>
      <w:sz w:val="16"/>
      <w:szCs w:val="16"/>
    </w:rPr>
  </w:style>
  <w:style w:type="paragraph" w:styleId="Koptekst">
    <w:name w:val="header"/>
    <w:aliases w:val="IT Kopfzeile"/>
    <w:link w:val="KoptekstCh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tekstChar">
    <w:name w:val="Koptekst Char"/>
    <w:aliases w:val="IT Kopfzeile Char"/>
    <w:basedOn w:val="Standaardalinea-lettertype"/>
    <w:link w:val="Koptekst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Inhopg4">
    <w:name w:val="toc 4"/>
    <w:aliases w:val="IT Verzeichnis Anhänge"/>
    <w:basedOn w:val="Inhopg1"/>
    <w:next w:val="Standaard"/>
    <w:rsid w:val="00A00995"/>
  </w:style>
  <w:style w:type="paragraph" w:styleId="Ballontekst">
    <w:name w:val="Balloon Text"/>
    <w:basedOn w:val="Standaard"/>
    <w:link w:val="BallontekstCh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3BE7-B41B-441F-848B-DF5FB49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2970</Words>
  <Characters>16338</Characters>
  <Application>Microsoft Office Word</Application>
  <DocSecurity>4</DocSecurity>
  <Lines>136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Boddëus, R.D. (Rik)</cp:lastModifiedBy>
  <cp:revision>2</cp:revision>
  <cp:lastPrinted>2017-10-25T12:48:00Z</cp:lastPrinted>
  <dcterms:created xsi:type="dcterms:W3CDTF">2019-05-24T08:44:00Z</dcterms:created>
  <dcterms:modified xsi:type="dcterms:W3CDTF">2019-05-24T08:44:00Z</dcterms:modified>
</cp:coreProperties>
</file>